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8"/>
        <w:contextualSpacing/>
        <w:ind w:left="0" w:right="0"/>
        <w:spacing w:before="0"/>
        <w:rPr>
          <w:sz w:val="36"/>
          <w:szCs w:val="36"/>
        </w:rPr>
      </w:pPr>
      <w:r/>
      <w:bookmarkStart w:id="0" w:name="_Hlk60047339"/>
      <w:r/>
      <w:bookmarkEnd w:id="0"/>
      <w:r>
        <w:rPr>
          <w:sz w:val="36"/>
          <w:szCs w:val="36"/>
        </w:rPr>
        <w:t xml:space="preserve">Электрон</w:t>
      </w:r>
      <w:r>
        <w:rPr>
          <w:sz w:val="36"/>
          <w:szCs w:val="36"/>
        </w:rPr>
        <w:t xml:space="preserve">асос </w:t>
      </w:r>
      <w:r>
        <w:rPr>
          <w:sz w:val="36"/>
          <w:szCs w:val="36"/>
        </w:rPr>
        <w:t xml:space="preserve">погружной</w:t>
      </w:r>
      <w:r>
        <w:rPr>
          <w:sz w:val="36"/>
          <w:szCs w:val="36"/>
        </w:rPr>
        <w:t xml:space="preserve"> фекальный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</w:r>
    </w:p>
    <w:p>
      <w:pPr>
        <w:pStyle w:val="618"/>
        <w:contextualSpacing/>
        <w:ind w:left="0" w:right="0"/>
        <w:spacing w:before="0"/>
        <w:rPr>
          <w:b w:val="0"/>
          <w:bCs w:val="0"/>
          <w:color w:val="ff0000"/>
        </w:rPr>
      </w:pP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типа </w:t>
      </w:r>
      <w:r>
        <w:rPr>
          <w:sz w:val="36"/>
          <w:szCs w:val="36"/>
        </w:rPr>
        <w:t xml:space="preserve">ПФ</w:t>
      </w:r>
      <w:r>
        <w:rPr>
          <w:sz w:val="36"/>
          <w:szCs w:val="36"/>
        </w:rPr>
        <w:t xml:space="preserve">3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15</w:t>
      </w:r>
      <w:r>
        <w:rPr>
          <w:sz w:val="36"/>
          <w:szCs w:val="36"/>
        </w:rPr>
        <w:t xml:space="preserve">0</w:t>
      </w:r>
      <w:r>
        <w:rPr>
          <w:sz w:val="36"/>
          <w:szCs w:val="36"/>
        </w:rPr>
        <w:t xml:space="preserve">/</w:t>
      </w:r>
      <w:r>
        <w:rPr>
          <w:sz w:val="36"/>
          <w:szCs w:val="36"/>
        </w:rPr>
        <w:t xml:space="preserve">400</w:t>
      </w:r>
      <w:r>
        <w:rPr>
          <w:sz w:val="36"/>
          <w:szCs w:val="36"/>
        </w:rPr>
        <w:t xml:space="preserve">.</w:t>
      </w:r>
      <w:r>
        <w:rPr>
          <w:sz w:val="36"/>
          <w:szCs w:val="36"/>
        </w:rPr>
        <w:t xml:space="preserve">395.Ч</w:t>
      </w:r>
      <w:r>
        <w:rPr>
          <w:sz w:val="36"/>
          <w:szCs w:val="36"/>
        </w:rPr>
        <w:t xml:space="preserve">-</w:t>
      </w:r>
      <w:r>
        <w:rPr>
          <w:sz w:val="36"/>
          <w:szCs w:val="36"/>
        </w:rPr>
        <w:t xml:space="preserve">75</w:t>
      </w:r>
      <w:r>
        <w:rPr>
          <w:sz w:val="36"/>
          <w:szCs w:val="36"/>
        </w:rPr>
        <w:t xml:space="preserve">/</w:t>
      </w:r>
      <w:r>
        <w:rPr>
          <w:sz w:val="36"/>
          <w:szCs w:val="36"/>
        </w:rPr>
        <w:t xml:space="preserve">4</w:t>
      </w:r>
      <w:r>
        <w:rPr>
          <w:sz w:val="36"/>
          <w:szCs w:val="36"/>
        </w:rPr>
        <w:t xml:space="preserve">-1</w:t>
      </w:r>
      <w:r>
        <w:rPr>
          <w:sz w:val="36"/>
          <w:szCs w:val="36"/>
        </w:rPr>
        <w:t xml:space="preserve">0</w:t>
      </w:r>
      <w:r>
        <w:rPr>
          <w:sz w:val="36"/>
          <w:szCs w:val="36"/>
        </w:rPr>
        <w:t xml:space="preserve">6</w:t>
      </w:r>
      <w:r>
        <w:rPr>
          <w:b w:val="0"/>
          <w:bCs w:val="0"/>
          <w:color w:val="ff0000"/>
        </w:rPr>
      </w:r>
    </w:p>
    <w:p>
      <w:pPr>
        <w:pStyle w:val="618"/>
        <w:contextualSpacing/>
        <w:ind w:left="0" w:right="0"/>
        <w:jc w:val="left"/>
        <w:spacing w:before="0"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</w:rPr>
      </w:r>
      <w:r>
        <w:rPr>
          <w:b w:val="0"/>
          <w:bCs w:val="0"/>
          <w:color w:val="000000" w:themeColor="text1"/>
        </w:rPr>
      </w:r>
    </w:p>
    <w:p>
      <w:pPr>
        <w:pStyle w:val="618"/>
        <w:contextualSpacing/>
        <w:ind w:left="0" w:right="0"/>
        <w:jc w:val="left"/>
        <w:spacing w:before="0"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Расход от </w:t>
      </w:r>
      <w:r>
        <w:rPr>
          <w:b w:val="0"/>
          <w:bCs w:val="0"/>
          <w:color w:val="000000" w:themeColor="text1"/>
        </w:rPr>
        <w:t xml:space="preserve">15</w:t>
      </w:r>
      <w:r>
        <w:rPr>
          <w:b w:val="0"/>
          <w:bCs w:val="0"/>
          <w:color w:val="000000" w:themeColor="text1"/>
        </w:rPr>
        <w:t xml:space="preserve">0</w:t>
      </w:r>
      <w:r>
        <w:rPr>
          <w:b w:val="0"/>
          <w:bCs w:val="0"/>
          <w:color w:val="000000" w:themeColor="text1"/>
        </w:rPr>
        <w:t xml:space="preserve"> до </w:t>
      </w:r>
      <w:r>
        <w:rPr>
          <w:b w:val="0"/>
          <w:bCs w:val="0"/>
          <w:color w:val="000000" w:themeColor="text1"/>
        </w:rPr>
        <w:t xml:space="preserve">27</w:t>
      </w:r>
      <w:r>
        <w:rPr>
          <w:b w:val="0"/>
          <w:bCs w:val="0"/>
          <w:color w:val="000000" w:themeColor="text1"/>
        </w:rPr>
        <w:t xml:space="preserve">0</w:t>
      </w:r>
      <w:r>
        <w:rPr>
          <w:b w:val="0"/>
          <w:bCs w:val="0"/>
          <w:color w:val="000000" w:themeColor="text1"/>
        </w:rPr>
        <w:t xml:space="preserve"> м3/ч</w:t>
      </w:r>
      <w:r>
        <w:rPr>
          <w:b w:val="0"/>
          <w:bCs w:val="0"/>
          <w:color w:val="000000" w:themeColor="text1"/>
        </w:rPr>
      </w:r>
    </w:p>
    <w:p>
      <w:pPr>
        <w:pStyle w:val="618"/>
        <w:contextualSpacing/>
        <w:ind w:left="0" w:right="0"/>
        <w:jc w:val="left"/>
        <w:spacing w:before="0"/>
        <w:rPr>
          <w:b w:val="0"/>
          <w:bCs w:val="0"/>
          <w:color w:val="000000" w:themeColor="text1"/>
        </w:rPr>
      </w:pPr>
      <w:r>
        <w:rPr>
          <w:b w:val="0"/>
          <w:bCs w:val="0"/>
          <w:color w:val="000000" w:themeColor="text1"/>
        </w:rPr>
        <w:t xml:space="preserve">Напор от 52,3</w:t>
      </w:r>
      <w:r>
        <w:rPr>
          <w:b w:val="0"/>
          <w:bCs w:val="0"/>
          <w:color w:val="000000" w:themeColor="text1"/>
        </w:rPr>
        <w:t xml:space="preserve"> </w:t>
      </w:r>
      <w:r>
        <w:rPr>
          <w:b w:val="0"/>
          <w:bCs w:val="0"/>
          <w:color w:val="000000" w:themeColor="text1"/>
        </w:rPr>
        <w:t xml:space="preserve">до </w:t>
      </w:r>
      <w:r>
        <w:rPr>
          <w:b w:val="0"/>
          <w:bCs w:val="0"/>
          <w:color w:val="000000" w:themeColor="text1"/>
        </w:rPr>
        <w:t xml:space="preserve">56,5</w:t>
      </w:r>
      <w:r>
        <w:rPr>
          <w:b w:val="0"/>
          <w:bCs w:val="0"/>
          <w:color w:val="000000" w:themeColor="text1"/>
        </w:rPr>
        <w:t xml:space="preserve"> </w:t>
      </w:r>
      <w:r>
        <w:rPr>
          <w:b w:val="0"/>
          <w:bCs w:val="0"/>
          <w:color w:val="000000" w:themeColor="text1"/>
        </w:rPr>
        <w:t xml:space="preserve">м.</w:t>
      </w:r>
      <w:r>
        <w:rPr>
          <w:b w:val="0"/>
          <w:bCs w:val="0"/>
          <w:color w:val="000000" w:themeColor="text1"/>
        </w:rPr>
        <w:t xml:space="preserve">в</w:t>
      </w:r>
      <w:r>
        <w:rPr>
          <w:b w:val="0"/>
          <w:bCs w:val="0"/>
          <w:color w:val="000000" w:themeColor="text1"/>
        </w:rPr>
        <w:t xml:space="preserve">.с.</w:t>
      </w:r>
      <w:r>
        <w:rPr>
          <w:b w:val="0"/>
          <w:bCs w:val="0"/>
          <w:color w:val="000000" w:themeColor="text1"/>
        </w:rPr>
      </w:r>
    </w:p>
    <w:p>
      <w:pPr>
        <w:contextualSpacing/>
        <w:rPr>
          <w:b/>
          <w:sz w:val="18"/>
        </w:rPr>
      </w:pPr>
      <w:r>
        <w:rPr>
          <w:b/>
          <w:sz w:val="18"/>
        </w:rPr>
        <w:t xml:space="preserve">Артикул (Код для заказа): уточняется при заказе оборудования</w:t>
      </w:r>
      <w:r>
        <w:rPr>
          <w:b/>
          <w:sz w:val="18"/>
        </w:rPr>
      </w:r>
    </w:p>
    <w:p>
      <w:pPr>
        <w:contextualSpacing/>
        <w:rPr>
          <w:b/>
          <w:sz w:val="18"/>
        </w:rPr>
      </w:pPr>
      <w:r>
        <w:rPr>
          <w:b/>
          <w:sz w:val="18"/>
        </w:rPr>
        <w:t xml:space="preserve">Внимание! Опускное устройство заказывается отдельно и имеет собственный артикул!</w:t>
      </w:r>
      <w:r>
        <w:rPr>
          <w:b/>
          <w:sz w:val="18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143718</wp:posOffset>
                </wp:positionH>
                <wp:positionV relativeFrom="paragraph">
                  <wp:posOffset>1698</wp:posOffset>
                </wp:positionV>
                <wp:extent cx="5898233" cy="7655442"/>
                <wp:effectExtent l="19050" t="0" r="7267" b="0"/>
                <wp:wrapNone/>
                <wp:docPr id="1" name="Рисунок 1" descr="T:\насосы\Иртыш 250 высота\НЗВ_0390_4000_00\Рисунок для паспорта Иртыш ПФ3 150_400-110_4-106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:\насосы\Иртыш 250 высота\НЗВ_0390_4000_00\Рисунок для паспорта Иртыш ПФ3 150_400-110_4-106.jp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5898233" cy="765544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62336;o:allowoverlap:true;o:allowincell:true;mso-position-horizontal-relative:text;margin-left:11.32pt;mso-position-horizontal:absolute;mso-position-vertical-relative:text;margin-top:0.13pt;mso-position-vertical:absolute;width:464.43pt;height:602.79pt;mso-wrap-distance-left:9.00pt;mso-wrap-distance-top:0.00pt;mso-wrap-distance-right:9.00pt;mso-wrap-distance-bottom:0.00pt;" stroked="f" strokeweight="0.75pt">
                <v:path textboxrect="0,0,0,0"/>
                <v:imagedata r:id="rId8" o:title=""/>
              </v:shape>
            </w:pict>
          </mc:Fallback>
        </mc:AlternateContent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right="301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right="301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</w:r>
      <w:r>
        <w:rPr>
          <w:sz w:val="28"/>
          <w:szCs w:val="28"/>
          <w:lang w:bidi="ar-SA"/>
        </w:rPr>
      </w:r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</w:pPr>
      <w:r/>
      <w:r/>
    </w:p>
    <w:p>
      <w:pPr>
        <w:pStyle w:val="623"/>
        <w:ind w:left="283" w:right="301" w:hanging="1"/>
        <w:jc w:val="center"/>
        <w:spacing w:before="25" w:line="266" w:lineRule="auto"/>
        <w:rPr>
          <w:color w:val="ff0000"/>
          <w:sz w:val="28"/>
          <w:u w:val="single"/>
        </w:rPr>
      </w:pPr>
      <w:r>
        <w:rPr>
          <w:color w:val="ff0000"/>
          <w:sz w:val="28"/>
          <w:u w:val="single"/>
        </w:rPr>
        <w:t xml:space="preserve">Возможны технические изменения</w:t>
      </w:r>
      <w:r>
        <w:rPr>
          <w:color w:val="ff0000"/>
          <w:sz w:val="28"/>
          <w:u w:val="single"/>
        </w:rPr>
      </w:r>
    </w:p>
    <w:p>
      <w:pPr>
        <w:jc w:val="center"/>
        <w:tabs>
          <w:tab w:val="left" w:pos="552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Общий вид и габаритные размеры электронасоса </w:t>
      </w:r>
      <w:r>
        <w:rPr>
          <w:sz w:val="28"/>
          <w:szCs w:val="28"/>
        </w:rPr>
      </w:r>
    </w:p>
    <w:p>
      <w:pPr>
        <w:jc w:val="center"/>
        <w:tabs>
          <w:tab w:val="left" w:pos="552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ПФ3 150/400.</w:t>
      </w:r>
      <w:r>
        <w:rPr>
          <w:sz w:val="28"/>
          <w:szCs w:val="28"/>
        </w:rPr>
        <w:t xml:space="preserve">395.Ч</w:t>
      </w:r>
      <w:r>
        <w:rPr>
          <w:sz w:val="28"/>
          <w:szCs w:val="28"/>
        </w:rPr>
        <w:t xml:space="preserve">-75/4-1</w:t>
      </w:r>
      <w:r>
        <w:rPr>
          <w:sz w:val="28"/>
          <w:szCs w:val="28"/>
        </w:rPr>
        <w:t xml:space="preserve">0</w:t>
      </w:r>
      <w:r>
        <w:rPr>
          <w:sz w:val="28"/>
          <w:szCs w:val="28"/>
        </w:rPr>
        <w:t xml:space="preserve">6</w:t>
      </w:r>
      <w:r>
        <w:rPr>
          <w:sz w:val="28"/>
          <w:szCs w:val="28"/>
        </w:rPr>
      </w:r>
    </w:p>
    <w:p>
      <w:pPr>
        <w:ind w:left="-284"/>
        <w:jc w:val="center"/>
        <w:rPr>
          <w:b/>
          <w:sz w:val="23"/>
          <w:szCs w:val="23"/>
        </w:rPr>
      </w:pPr>
      <w:r>
        <w:rPr>
          <w:sz w:val="24"/>
          <w:szCs w:val="24"/>
        </w:rPr>
        <w:t xml:space="preserve">1. Патрубок погружной; 2. Насос с захватом; 3. Направляющие; 4. Кронштейн верхний</w:t>
      </w:r>
      <w:r>
        <w:rPr>
          <w:b/>
          <w:sz w:val="23"/>
          <w:szCs w:val="23"/>
        </w:rPr>
        <w:br w:type="page" w:clear="all"/>
      </w:r>
      <w:r>
        <w:rPr>
          <w:b/>
          <w:sz w:val="23"/>
          <w:szCs w:val="23"/>
        </w:rPr>
      </w:r>
    </w:p>
    <w:p>
      <w:pPr>
        <w:jc w:val="center"/>
        <w:tabs>
          <w:tab w:val="left" w:pos="5529" w:leader="none"/>
        </w:tabs>
        <w:rPr>
          <w:b/>
          <w:sz w:val="10"/>
        </w:rPr>
      </w:pPr>
      <w:r>
        <w:rPr>
          <w:b/>
          <w:sz w:val="23"/>
          <w:szCs w:val="23"/>
        </w:rPr>
        <w:t xml:space="preserve">Расшифровка маркировки </w:t>
      </w:r>
      <w:r>
        <w:rPr>
          <w:b/>
          <w:sz w:val="23"/>
          <w:szCs w:val="23"/>
        </w:rPr>
        <w:t xml:space="preserve">ПФ3 150/400.</w:t>
      </w:r>
      <w:r>
        <w:rPr>
          <w:b/>
          <w:sz w:val="23"/>
          <w:szCs w:val="23"/>
        </w:rPr>
        <w:t xml:space="preserve">395.Ч</w:t>
      </w:r>
      <w:r>
        <w:rPr>
          <w:b/>
          <w:sz w:val="23"/>
          <w:szCs w:val="23"/>
        </w:rPr>
        <w:t xml:space="preserve">-75/4-106</w:t>
      </w:r>
      <w:r>
        <w:rPr>
          <w:b/>
          <w:sz w:val="23"/>
          <w:szCs w:val="23"/>
        </w:rPr>
        <w:t xml:space="preserve">:</w:t>
      </w:r>
      <w:r>
        <w:rPr>
          <w:b/>
          <w:sz w:val="10"/>
        </w:rPr>
      </w:r>
    </w:p>
    <w:tbl>
      <w:tblPr>
        <w:tblStyle w:val="622"/>
        <w:tblW w:w="0" w:type="auto"/>
        <w:tblInd w:w="12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9129"/>
      </w:tblGrid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П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  <w:r>
              <w:rPr>
                <w:sz w:val="18"/>
              </w:rPr>
              <w:t xml:space="preserve">погружной</w:t>
            </w:r>
            <w:r>
              <w:rPr>
                <w:sz w:val="18"/>
              </w:rPr>
              <w:t xml:space="preserve"> электродвигатель без принудительного охлаждения;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Ф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гидравлическая часть насоса предназначена для перекачивания сточных вод;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3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в насосе установлено </w:t>
            </w:r>
            <w:r>
              <w:rPr>
                <w:sz w:val="18"/>
              </w:rPr>
              <w:t xml:space="preserve">трех</w:t>
            </w:r>
            <w:r>
              <w:rPr>
                <w:sz w:val="18"/>
              </w:rPr>
              <w:t xml:space="preserve">канальное рабочее колесо;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15</w:t>
            </w:r>
            <w:r>
              <w:rPr>
                <w:sz w:val="18"/>
              </w:rPr>
              <w:t xml:space="preserve">0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номинальный диаметр напорного патрубка, </w:t>
            </w:r>
            <w:r>
              <w:rPr>
                <w:sz w:val="18"/>
              </w:rPr>
              <w:t xml:space="preserve">мм</w:t>
            </w:r>
            <w:r>
              <w:rPr>
                <w:sz w:val="18"/>
              </w:rPr>
              <w:t xml:space="preserve">;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400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номинальный диаметр рабочего колеса, </w:t>
            </w:r>
            <w:r>
              <w:rPr>
                <w:sz w:val="18"/>
              </w:rPr>
              <w:t xml:space="preserve">мм</w:t>
            </w:r>
            <w:r>
              <w:rPr>
                <w:sz w:val="18"/>
              </w:rPr>
              <w:t xml:space="preserve">;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3</w:t>
            </w:r>
            <w:r>
              <w:rPr>
                <w:sz w:val="18"/>
              </w:rPr>
              <w:t xml:space="preserve">95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фактический диаметр рабочего колеса, </w:t>
            </w:r>
            <w:r>
              <w:rPr>
                <w:sz w:val="18"/>
              </w:rPr>
              <w:t xml:space="preserve">мм</w:t>
            </w:r>
            <w:r>
              <w:rPr>
                <w:sz w:val="18"/>
              </w:rPr>
              <w:t xml:space="preserve">;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Ч</w:t>
            </w:r>
            <w:r>
              <w:rPr>
                <w:sz w:val="20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- для совместной работы с частотным преобразователем;</w:t>
            </w:r>
            <w:r>
              <w:rPr>
                <w:sz w:val="20"/>
              </w:rPr>
            </w:r>
          </w:p>
        </w:tc>
      </w:tr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без обозначения, стандартная длина кабеля 10 метров;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75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номинальная мощность электродвигателя, кВт;</w:t>
            </w:r>
            <w:r>
              <w:rPr>
                <w:sz w:val="18"/>
              </w:rPr>
            </w:r>
          </w:p>
        </w:tc>
      </w:tr>
      <w:tr>
        <w:tblPrEx/>
        <w:trPr>
          <w:trHeight w:val="237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4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число полюсов электродвигателя;</w:t>
            </w:r>
            <w:r>
              <w:rPr>
                <w:sz w:val="18"/>
              </w:rPr>
            </w:r>
          </w:p>
        </w:tc>
      </w:tr>
      <w:tr>
        <w:tblPrEx/>
        <w:trPr>
          <w:trHeight w:val="261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1</w:t>
            </w:r>
            <w:r>
              <w:rPr>
                <w:sz w:val="20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20"/>
              </w:rPr>
            </w:pPr>
            <w:r>
              <w:rPr>
                <w:sz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монтаж на оп</w:t>
            </w:r>
            <w:r>
              <w:rPr>
                <w:spacing w:val="-5"/>
                <w:sz w:val="20"/>
                <w:szCs w:val="20"/>
              </w:rPr>
              <w:t xml:space="preserve">у</w:t>
            </w:r>
            <w:r>
              <w:rPr>
                <w:spacing w:val="-1"/>
                <w:sz w:val="20"/>
                <w:szCs w:val="20"/>
              </w:rPr>
              <w:t xml:space="preserve">с</w:t>
            </w:r>
            <w:r>
              <w:rPr>
                <w:sz w:val="20"/>
                <w:szCs w:val="20"/>
              </w:rPr>
              <w:t xml:space="preserve">кном </w:t>
            </w:r>
            <w:r>
              <w:rPr>
                <w:spacing w:val="-5"/>
                <w:sz w:val="20"/>
                <w:szCs w:val="20"/>
              </w:rPr>
              <w:t xml:space="preserve">у</w:t>
            </w:r>
            <w:r>
              <w:rPr>
                <w:spacing w:val="-1"/>
                <w:sz w:val="20"/>
                <w:szCs w:val="20"/>
              </w:rPr>
              <w:t xml:space="preserve">с</w:t>
            </w:r>
            <w:r>
              <w:rPr>
                <w:sz w:val="20"/>
                <w:szCs w:val="20"/>
              </w:rPr>
              <w:t xml:space="preserve">тройст</w:t>
            </w:r>
            <w:r>
              <w:rPr>
                <w:spacing w:val="1"/>
                <w:sz w:val="20"/>
                <w:szCs w:val="20"/>
              </w:rPr>
              <w:t xml:space="preserve">в</w:t>
            </w:r>
            <w:r>
              <w:rPr>
                <w:spacing w:val="-1"/>
                <w:sz w:val="20"/>
                <w:szCs w:val="20"/>
              </w:rPr>
              <w:t xml:space="preserve">е вертикальный</w:t>
            </w:r>
            <w:r>
              <w:rPr>
                <w:sz w:val="20"/>
              </w:rPr>
              <w:t xml:space="preserve">;</w:t>
            </w:r>
            <w:r>
              <w:rPr>
                <w:sz w:val="20"/>
              </w:rPr>
            </w:r>
          </w:p>
        </w:tc>
      </w:tr>
      <w:tr>
        <w:tblPrEx/>
        <w:trPr>
          <w:trHeight w:val="16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0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pStyle w:val="625"/>
              <w:ind w:left="0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- без шкафа защиты и управления;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48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6</w:t>
            </w:r>
            <w:r>
              <w:rPr>
                <w:sz w:val="18"/>
              </w:rPr>
            </w:r>
          </w:p>
        </w:tc>
        <w:tc>
          <w:tcPr>
            <w:tcW w:w="9129" w:type="dxa"/>
            <w:textDirection w:val="lrTb"/>
            <w:noWrap w:val="false"/>
          </w:tcPr>
          <w:p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- </w:t>
            </w:r>
            <w:r>
              <w:rPr>
                <w:sz w:val="18"/>
                <w:szCs w:val="20"/>
              </w:rPr>
              <w:t xml:space="preserve">влаго-термозащита</w:t>
            </w:r>
            <w:r>
              <w:rPr>
                <w:sz w:val="18"/>
                <w:szCs w:val="20"/>
              </w:rPr>
              <w:t xml:space="preserve">.</w:t>
            </w:r>
            <w:r>
              <w:rPr>
                <w:sz w:val="18"/>
                <w:szCs w:val="20"/>
              </w:rPr>
            </w:r>
          </w:p>
        </w:tc>
      </w:tr>
    </w:tbl>
    <w:p>
      <w:r/>
      <w:r/>
    </w:p>
    <w:tbl>
      <w:tblPr>
        <w:tblStyle w:val="622"/>
        <w:tblW w:w="0" w:type="auto"/>
        <w:tblInd w:w="128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1E0" w:firstRow="1" w:lastRow="1" w:firstColumn="1" w:lastColumn="1" w:noHBand="0" w:noVBand="0"/>
      </w:tblPr>
      <w:tblGrid>
        <w:gridCol w:w="6545"/>
        <w:gridCol w:w="740"/>
        <w:gridCol w:w="866"/>
        <w:gridCol w:w="1626"/>
      </w:tblGrid>
      <w:tr>
        <w:tblPrEx/>
        <w:trPr>
          <w:trHeight w:val="284"/>
        </w:trPr>
        <w:tc>
          <w:tcPr>
            <w:gridSpan w:val="4"/>
            <w:tcW w:w="9777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Параметры рабочей точки</w:t>
            </w:r>
            <w:r>
              <w:rPr>
                <w:b/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Производительность, Q</w:t>
            </w:r>
            <w:r>
              <w:rPr>
                <w:sz w:val="18"/>
              </w:rPr>
            </w:r>
          </w:p>
        </w:tc>
        <w:tc>
          <w:tcPr>
            <w:tcW w:w="866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250</w:t>
            </w:r>
            <w:r>
              <w:rPr>
                <w:sz w:val="18"/>
              </w:rPr>
            </w:r>
          </w:p>
        </w:tc>
        <w:tc>
          <w:tcPr>
            <w:tcW w:w="1626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м3/ч</w:t>
            </w:r>
            <w:r>
              <w:rPr>
                <w:sz w:val="18"/>
              </w:rPr>
            </w:r>
          </w:p>
        </w:tc>
      </w:tr>
      <w:tr>
        <w:tblPrEx/>
        <w:trPr>
          <w:trHeight w:val="272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Напор, Н</w:t>
            </w:r>
            <w:r>
              <w:rPr>
                <w:sz w:val="18"/>
              </w:rPr>
            </w:r>
          </w:p>
        </w:tc>
        <w:tc>
          <w:tcPr>
            <w:tcW w:w="866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53</w:t>
            </w:r>
            <w:r>
              <w:rPr>
                <w:sz w:val="18"/>
              </w:rPr>
            </w:r>
          </w:p>
        </w:tc>
        <w:tc>
          <w:tcPr>
            <w:tcW w:w="1626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м</w:t>
            </w:r>
            <w:r>
              <w:rPr>
                <w:sz w:val="18"/>
              </w:rPr>
            </w:r>
          </w:p>
        </w:tc>
      </w:tr>
      <w:tr>
        <w:tblPrEx/>
        <w:trPr>
          <w:trHeight w:val="272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Потребляемая мощность в рабочей точке, </w:t>
            </w:r>
            <w:r>
              <w:rPr>
                <w:sz w:val="18"/>
              </w:rPr>
              <w:t xml:space="preserve">N</w:t>
            </w:r>
            <w:r>
              <w:rPr>
                <w:sz w:val="18"/>
              </w:rPr>
              <w:t xml:space="preserve">потр</w:t>
            </w:r>
            <w:r>
              <w:rPr>
                <w:sz w:val="18"/>
              </w:rPr>
            </w:r>
          </w:p>
        </w:tc>
        <w:tc>
          <w:tcPr>
            <w:tcW w:w="866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71</w:t>
            </w:r>
            <w:r>
              <w:rPr>
                <w:sz w:val="18"/>
              </w:rPr>
            </w:r>
          </w:p>
        </w:tc>
        <w:tc>
          <w:tcPr>
            <w:tcW w:w="1626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кВт</w:t>
            </w:r>
            <w:r>
              <w:rPr>
                <w:sz w:val="18"/>
              </w:rPr>
            </w:r>
          </w:p>
        </w:tc>
      </w:tr>
      <w:tr>
        <w:tblPrEx/>
        <w:trPr>
          <w:trHeight w:val="272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КПД агрегата, η</w:t>
            </w:r>
            <w:r>
              <w:rPr>
                <w:sz w:val="18"/>
              </w:rPr>
            </w:r>
          </w:p>
        </w:tc>
        <w:tc>
          <w:tcPr>
            <w:tcW w:w="866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47</w:t>
            </w:r>
            <w:r>
              <w:rPr>
                <w:sz w:val="18"/>
              </w:rPr>
            </w:r>
          </w:p>
        </w:tc>
        <w:tc>
          <w:tcPr>
            <w:tcW w:w="1626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%</w:t>
            </w:r>
            <w:r>
              <w:rPr>
                <w:sz w:val="18"/>
              </w:rPr>
            </w:r>
          </w:p>
        </w:tc>
      </w:tr>
      <w:tr>
        <w:tblPrEx/>
        <w:trPr>
          <w:trHeight w:val="285"/>
        </w:trPr>
        <w:tc>
          <w:tcPr>
            <w:gridSpan w:val="4"/>
            <w:tcW w:w="9777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Характеристики насоса</w:t>
            </w:r>
            <w:r>
              <w:rPr>
                <w:b/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Вариант монтажа насоса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20"/>
                <w:szCs w:val="20"/>
              </w:rPr>
              <w:t xml:space="preserve">монтаж на оп</w:t>
            </w:r>
            <w:r>
              <w:rPr>
                <w:spacing w:val="-5"/>
                <w:sz w:val="20"/>
                <w:szCs w:val="20"/>
              </w:rPr>
              <w:t xml:space="preserve">у</w:t>
            </w:r>
            <w:r>
              <w:rPr>
                <w:spacing w:val="-1"/>
                <w:sz w:val="20"/>
                <w:szCs w:val="20"/>
              </w:rPr>
              <w:t xml:space="preserve">с</w:t>
            </w:r>
            <w:r>
              <w:rPr>
                <w:sz w:val="20"/>
                <w:szCs w:val="20"/>
              </w:rPr>
              <w:t xml:space="preserve">кном </w:t>
            </w:r>
            <w:r>
              <w:rPr>
                <w:spacing w:val="-5"/>
                <w:sz w:val="20"/>
                <w:szCs w:val="20"/>
              </w:rPr>
              <w:t xml:space="preserve">у</w:t>
            </w:r>
            <w:r>
              <w:rPr>
                <w:spacing w:val="-1"/>
                <w:sz w:val="20"/>
                <w:szCs w:val="20"/>
              </w:rPr>
              <w:t xml:space="preserve">с</w:t>
            </w:r>
            <w:r>
              <w:rPr>
                <w:sz w:val="20"/>
                <w:szCs w:val="20"/>
              </w:rPr>
              <w:t xml:space="preserve">тройст</w:t>
            </w:r>
            <w:r>
              <w:rPr>
                <w:spacing w:val="1"/>
                <w:sz w:val="20"/>
                <w:szCs w:val="20"/>
              </w:rPr>
              <w:t xml:space="preserve">в</w:t>
            </w:r>
            <w:r>
              <w:rPr>
                <w:spacing w:val="-1"/>
                <w:sz w:val="20"/>
                <w:szCs w:val="20"/>
              </w:rPr>
              <w:t xml:space="preserve">е вертикальный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Условный диаметр напорного патрубка, </w:t>
            </w:r>
            <w:r>
              <w:rPr>
                <w:sz w:val="18"/>
              </w:rPr>
              <w:t xml:space="preserve">Ду</w:t>
            </w:r>
            <w:r>
              <w:rPr>
                <w:sz w:val="18"/>
              </w:rPr>
              <w:t xml:space="preserve">, мм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150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Тип рабочего колеса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трехканальное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Фактический диаметр рабочего колеса, </w:t>
            </w:r>
            <w:r>
              <w:rPr>
                <w:sz w:val="18"/>
              </w:rPr>
              <w:t xml:space="preserve">мм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395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Рекомендуемая глубина погружения, </w:t>
            </w:r>
            <w:r>
              <w:rPr>
                <w:sz w:val="18"/>
              </w:rPr>
              <w:t xml:space="preserve">м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не более 10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Максимальный размер перекачиваемых частиц, </w:t>
            </w:r>
            <w:r>
              <w:rPr>
                <w:sz w:val="18"/>
              </w:rPr>
              <w:t xml:space="preserve">мм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70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Тип уплотнения вала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торцовое</w:t>
            </w:r>
            <w:r>
              <w:rPr>
                <w:sz w:val="18"/>
              </w:rPr>
            </w:r>
          </w:p>
        </w:tc>
      </w:tr>
      <w:tr>
        <w:tblPrEx/>
        <w:trPr>
          <w:trHeight w:val="54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Материал вращающейся части и неподвижного кольца торцового уплотнения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карбид кремния</w:t>
            </w:r>
            <w:r>
              <w:rPr>
                <w:sz w:val="18"/>
              </w:rPr>
            </w:r>
          </w:p>
        </w:tc>
      </w:tr>
      <w:tr>
        <w:tblPrEx/>
        <w:trPr>
          <w:trHeight w:val="285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Материал рабочего колеса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чугун СЧ20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Материал корпуса спирального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чугун СЧ20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gridSpan w:val="4"/>
            <w:tcW w:w="9777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Параметры электродвигателя</w:t>
            </w:r>
            <w:r>
              <w:rPr>
                <w:b/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Номинальная мощность, кВт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75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Напряжение, </w:t>
            </w:r>
            <w:r>
              <w:rPr>
                <w:sz w:val="18"/>
              </w:rPr>
              <w:t xml:space="preserve">В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380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Частота тока, </w:t>
            </w:r>
            <w:r>
              <w:rPr>
                <w:sz w:val="18"/>
              </w:rPr>
              <w:t xml:space="preserve">Гц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50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Номинальный ток, А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142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Число полюсов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4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Частота вращения, </w:t>
            </w:r>
            <w:r>
              <w:rPr>
                <w:sz w:val="18"/>
              </w:rPr>
              <w:t xml:space="preserve">об</w:t>
            </w:r>
            <w:r>
              <w:rPr>
                <w:sz w:val="18"/>
              </w:rPr>
              <w:t xml:space="preserve">/мин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1485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С</w:t>
            </w:r>
            <w:r>
              <w:rPr>
                <w:sz w:val="18"/>
              </w:rPr>
              <w:t xml:space="preserve">os φ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0,85</w:t>
            </w:r>
            <w:r>
              <w:rPr>
                <w:sz w:val="18"/>
              </w:rPr>
            </w:r>
          </w:p>
        </w:tc>
      </w:tr>
      <w:tr>
        <w:tblPrEx/>
        <w:trPr>
          <w:trHeight w:val="237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КПД эл. двигателя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94,3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Соединение обмоток по схеме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rFonts w:ascii="Symbol" w:hAnsi="Symbol" w:eastAsia="Symbol" w:cs="Symbol"/>
                <w:sz w:val="18"/>
              </w:rPr>
              <w:t xml:space="preserve">D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Класс нагревостойкости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F</w:t>
            </w:r>
            <w:r>
              <w:rPr>
                <w:sz w:val="18"/>
              </w:rPr>
            </w:r>
          </w:p>
        </w:tc>
      </w:tr>
      <w:tr>
        <w:tblPrEx/>
        <w:trPr>
          <w:trHeight w:val="54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Способ охлаждения электродвигателя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погружной электродвигатель без принудительного охлаждения</w:t>
            </w:r>
            <w:r>
              <w:rPr>
                <w:sz w:val="18"/>
              </w:rPr>
            </w:r>
          </w:p>
        </w:tc>
      </w:tr>
      <w:tr>
        <w:tblPrEx/>
        <w:trPr>
          <w:trHeight w:val="237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Способ защиты электродвигателя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  <w:szCs w:val="20"/>
              </w:rPr>
              <w:t xml:space="preserve">влаго-термозащита</w:t>
            </w:r>
            <w:r>
              <w:rPr>
                <w:sz w:val="18"/>
              </w:rPr>
            </w:r>
          </w:p>
        </w:tc>
      </w:tr>
      <w:tr>
        <w:tblPrEx/>
        <w:trPr>
          <w:trHeight w:val="224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Степень защиты электродвигателя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IP 68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Длина встроенного электрического кабеля, </w:t>
            </w:r>
            <w:r>
              <w:rPr>
                <w:sz w:val="18"/>
              </w:rPr>
              <w:t xml:space="preserve">м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10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Количество жил кабеля, шт.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3+1+3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Сечение жил, мм</w:t>
            </w:r>
            <w:r>
              <w:rPr>
                <w:sz w:val="18"/>
              </w:rPr>
              <w:t xml:space="preserve">2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25+10+2,5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Изоляция кабеля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маслостойкая</w:t>
            </w:r>
            <w:r>
              <w:rPr>
                <w:sz w:val="18"/>
              </w:rPr>
            </w:r>
          </w:p>
        </w:tc>
      </w:tr>
      <w:tr>
        <w:tblPrEx/>
        <w:trPr>
          <w:trHeight w:val="267"/>
        </w:trPr>
        <w:tc>
          <w:tcPr>
            <w:tcW w:w="654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Исполнение шкафа защиты, поставляемого в комплекте с насосом</w:t>
            </w:r>
            <w:r>
              <w:rPr>
                <w:sz w:val="18"/>
              </w:rPr>
            </w:r>
          </w:p>
        </w:tc>
        <w:tc>
          <w:tcPr>
            <w:gridSpan w:val="3"/>
            <w:tcW w:w="323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без шкафа защиты и управления</w:t>
            </w:r>
            <w:r>
              <w:rPr>
                <w:sz w:val="18"/>
              </w:rPr>
            </w:r>
          </w:p>
        </w:tc>
      </w:tr>
      <w:tr>
        <w:tblPrEx/>
        <w:trPr>
          <w:trHeight w:val="284"/>
        </w:trPr>
        <w:tc>
          <w:tcPr>
            <w:gridSpan w:val="4"/>
            <w:tcW w:w="9777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Ресурсы</w:t>
            </w:r>
            <w:r>
              <w:rPr>
                <w:b/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Средняя наработка на отказ, часов, не менее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7000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Средний ресурс до главного техобслуживания, часов, не менее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20000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Средний срок службы, лет, не менее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20</w:t>
            </w:r>
            <w:r>
              <w:rPr>
                <w:sz w:val="18"/>
              </w:rPr>
            </w:r>
          </w:p>
        </w:tc>
      </w:tr>
      <w:tr>
        <w:tblPrEx/>
        <w:trPr>
          <w:trHeight w:val="236"/>
        </w:trPr>
        <w:tc>
          <w:tcPr>
            <w:gridSpan w:val="2"/>
            <w:tcW w:w="7285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Масса насосного агрегата без шкафа управления, </w:t>
            </w:r>
            <w:r>
              <w:rPr>
                <w:sz w:val="18"/>
              </w:rPr>
              <w:t xml:space="preserve">кг</w:t>
            </w:r>
            <w:r>
              <w:rPr>
                <w:sz w:val="18"/>
              </w:rPr>
              <w:t xml:space="preserve">.</w:t>
            </w:r>
            <w:r>
              <w:rPr>
                <w:sz w:val="18"/>
              </w:rPr>
            </w:r>
          </w:p>
        </w:tc>
        <w:tc>
          <w:tcPr>
            <w:gridSpan w:val="2"/>
            <w:tcW w:w="2492" w:type="dxa"/>
            <w:vAlign w:val="center"/>
            <w:textDirection w:val="lrTb"/>
            <w:noWrap w:val="false"/>
          </w:tcPr>
          <w:p>
            <w:pPr>
              <w:pStyle w:val="625"/>
              <w:ind w:left="0"/>
              <w:jc w:val="center"/>
              <w:spacing w:line="240" w:lineRule="auto"/>
              <w:rPr>
                <w:sz w:val="18"/>
              </w:rPr>
            </w:pPr>
            <w:r>
              <w:rPr>
                <w:sz w:val="18"/>
              </w:rPr>
              <w:t xml:space="preserve">1250</w:t>
            </w:r>
            <w:r>
              <w:rPr>
                <w:sz w:val="18"/>
              </w:rPr>
            </w:r>
          </w:p>
        </w:tc>
      </w:tr>
    </w:tbl>
    <w:p>
      <w:pPr>
        <w:jc w:val="center"/>
      </w:pPr>
      <w:r>
        <w:rPr>
          <w:lang w:bidi="ar-SA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-81150</wp:posOffset>
                </wp:positionH>
                <wp:positionV relativeFrom="paragraph">
                  <wp:posOffset>3175</wp:posOffset>
                </wp:positionV>
                <wp:extent cx="6670457" cy="8877300"/>
                <wp:effectExtent l="19050" t="0" r="0" b="0"/>
                <wp:wrapNone/>
                <wp:docPr id="2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670457" cy="8877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position:absolute;z-index:-251663360;o:allowoverlap:true;o:allowincell:true;mso-position-horizontal-relative:text;margin-left:-6.39pt;mso-position-horizontal:absolute;mso-position-vertical-relative:text;margin-top:0.25pt;mso-position-vertical:absolute;width:525.23pt;height:699.00pt;mso-wrap-distance-left:9.00pt;mso-wrap-distance-top:0.00pt;mso-wrap-distance-right:9.00pt;mso-wrap-distance-bottom:0.00pt;" stroked="f" strokeweight="0.75pt">
                <v:path textboxrect="0,0,0,0"/>
                <v:imagedata r:id="rId9" o:title=""/>
              </v:shape>
            </w:pict>
          </mc:Fallback>
        </mc:AlternateContent>
      </w:r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jc w:val="center"/>
      </w:pPr>
      <w:r/>
      <w:r/>
    </w:p>
    <w:p>
      <w:pPr>
        <w:pStyle w:val="628"/>
        <w:jc w:val="center"/>
        <w:rPr>
          <w:b w:val="0"/>
          <w:szCs w:val="28"/>
        </w:rPr>
      </w:pPr>
      <w:r>
        <w:rPr>
          <w:b w:val="0"/>
          <w:szCs w:val="28"/>
        </w:rPr>
      </w:r>
      <w:r>
        <w:rPr>
          <w:b w:val="0"/>
          <w:szCs w:val="28"/>
        </w:rPr>
      </w:r>
    </w:p>
    <w:p>
      <w:pPr>
        <w:pStyle w:val="628"/>
        <w:jc w:val="center"/>
        <w:rPr>
          <w:b w:val="0"/>
          <w:szCs w:val="28"/>
          <w:lang w:val="en-US"/>
        </w:rPr>
      </w:pPr>
      <w:r>
        <w:rPr>
          <w:b w:val="0"/>
          <w:szCs w:val="28"/>
          <w:lang w:val="en-US"/>
        </w:rPr>
      </w:r>
      <w:r>
        <w:rPr>
          <w:b w:val="0"/>
          <w:szCs w:val="28"/>
          <w:lang w:val="en-US"/>
        </w:rPr>
      </w:r>
    </w:p>
    <w:p>
      <w:pPr>
        <w:rPr>
          <w:lang w:val="en-US" w:bidi="ar-SA"/>
        </w:rPr>
      </w:pPr>
      <w:r>
        <w:rPr>
          <w:lang w:val="en-US" w:bidi="ar-SA"/>
        </w:rPr>
      </w:r>
      <w:r>
        <w:rPr>
          <w:lang w:val="en-US" w:bidi="ar-SA"/>
        </w:rPr>
      </w:r>
    </w:p>
    <w:p>
      <w:pPr>
        <w:rPr>
          <w:lang w:val="en-US" w:bidi="ar-SA"/>
        </w:rPr>
      </w:pPr>
      <w:r>
        <w:rPr>
          <w:lang w:val="en-US" w:bidi="ar-SA"/>
        </w:rPr>
      </w:r>
      <w:r>
        <w:rPr>
          <w:lang w:val="en-US" w:bidi="ar-SA"/>
        </w:rPr>
      </w:r>
    </w:p>
    <w:p>
      <w:pPr>
        <w:rPr>
          <w:lang w:val="en-US" w:bidi="ar-SA"/>
        </w:rPr>
      </w:pPr>
      <w:r>
        <w:rPr>
          <w:lang w:val="en-US" w:bidi="ar-SA"/>
        </w:rPr>
      </w:r>
      <w:r>
        <w:rPr>
          <w:lang w:val="en-US" w:bidi="ar-SA"/>
        </w:rPr>
      </w:r>
    </w:p>
    <w:p>
      <w:pPr>
        <w:pStyle w:val="628"/>
        <w:jc w:val="center"/>
        <w:rPr>
          <w:b w:val="0"/>
          <w:szCs w:val="28"/>
        </w:rPr>
      </w:pPr>
      <w:r>
        <w:rPr>
          <w:b w:val="0"/>
          <w:szCs w:val="28"/>
        </w:rPr>
        <w:t xml:space="preserve">Рабочие характеристики </w:t>
      </w:r>
      <w:r>
        <w:rPr>
          <w:b w:val="0"/>
          <w:szCs w:val="28"/>
        </w:rPr>
        <w:t xml:space="preserve">электронасоса </w:t>
      </w:r>
      <w:r>
        <w:rPr>
          <w:b w:val="0"/>
          <w:szCs w:val="28"/>
        </w:rPr>
      </w:r>
    </w:p>
    <w:p>
      <w:pPr>
        <w:pStyle w:val="628"/>
        <w:jc w:val="center"/>
        <w:rPr>
          <w:b w:val="0"/>
          <w:szCs w:val="28"/>
        </w:rPr>
      </w:pPr>
      <w:r>
        <w:rPr>
          <w:b w:val="0"/>
          <w:szCs w:val="28"/>
        </w:rPr>
        <w:t xml:space="preserve">ПФ3 150/400.395.Ч-75/4</w:t>
      </w:r>
      <w:r>
        <w:rPr>
          <w:b w:val="0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</w:p>
    <w:p>
      <w:pPr>
        <w:pStyle w:val="632"/>
        <w:contextualSpacing/>
        <w:jc w:val="center"/>
        <w:tabs>
          <w:tab w:val="left" w:pos="1575" w:leader="none"/>
          <w:tab w:val="center" w:pos="5015" w:leader="none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необходимых защит при эксплуатации</w:t>
      </w:r>
      <w:r>
        <w:rPr>
          <w:sz w:val="28"/>
          <w:szCs w:val="28"/>
        </w:rPr>
      </w:r>
    </w:p>
    <w:p>
      <w:pPr>
        <w:pStyle w:val="632"/>
        <w:contextualSpacing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электронасосов </w:t>
      </w:r>
      <w:r>
        <w:rPr>
          <w:sz w:val="28"/>
          <w:szCs w:val="28"/>
        </w:rPr>
      </w:r>
    </w:p>
    <w:p>
      <w:pPr>
        <w:pStyle w:val="632"/>
        <w:contextualSpacing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</w:r>
      <w:r>
        <w:rPr>
          <w:i/>
          <w:iCs/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Для обеспечения длительной безаварийной работы  насоса необходимо реализовать нижеперечисленный перечень защит и функций управления: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защиты по встроенным датчикам в насосе. Наличие и тип датчиков зависит от комплектации насоса (информация предоставляется заводом изготовителем по запросу);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наличие в шкафу управления автоматического выключателя защиты электродвигателя, подобранного в соответствии с номинальным током двигателя;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тепловую защиту двигателя;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контроль порядка чередования фаз;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контроль повышенного или пониженного напряжения на каждой фазе;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контроль перегрузки по току;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контроль перекоса тока по фазам;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контроль отсутствия одной или более фаз питания;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контроль сопротивления изоляции обмоток статора относительно корпуса насоса;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- защита от «сухого» хода.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Для работы электронасоса мощностью свыше 3кВт в автоматическом режиме необходимо обеспечить условия для плавного запуска и останова электродвигателя насоса при помощи устрой</w:t>
      </w:r>
      <w:r>
        <w:rPr>
          <w:i/>
          <w:iCs/>
          <w:sz w:val="28"/>
          <w:szCs w:val="28"/>
        </w:rPr>
        <w:t xml:space="preserve">ств пл</w:t>
      </w:r>
      <w:r>
        <w:rPr>
          <w:i/>
          <w:iCs/>
          <w:sz w:val="28"/>
          <w:szCs w:val="28"/>
        </w:rPr>
        <w:t xml:space="preserve">авного пуска или частотного преобразователя для электронасоса, предназначенного под частотное регулирование.</w:t>
      </w:r>
      <w:r>
        <w:rPr>
          <w:sz w:val="28"/>
          <w:szCs w:val="28"/>
        </w:rPr>
      </w:r>
    </w:p>
    <w:p>
      <w:pPr>
        <w:pStyle w:val="632"/>
        <w:contextualSpacing/>
        <w:ind w:firstLine="72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Для выполнения пусконалад</w:t>
      </w:r>
      <w:r>
        <w:rPr>
          <w:i/>
          <w:iCs/>
          <w:sz w:val="28"/>
          <w:szCs w:val="28"/>
        </w:rPr>
        <w:t xml:space="preserve">очных работ необходимо реализовать режим ручного управления насосами и другим оборудованием. Шкаф должен иметь органы управления режимами работы оборудования, кнопки «Пуск», «Стоп» и световую индикацию как минимум «Сеть», «Насос в работе», «Авария насоса».</w:t>
      </w:r>
      <w:r>
        <w:rPr>
          <w:sz w:val="28"/>
          <w:szCs w:val="28"/>
        </w:rPr>
      </w:r>
    </w:p>
    <w:p>
      <w:pPr>
        <w:pStyle w:val="628"/>
        <w:contextualSpacing/>
        <w:ind w:firstLine="720"/>
        <w:rPr>
          <w:i/>
          <w:iCs/>
          <w:szCs w:val="28"/>
        </w:rPr>
      </w:pPr>
      <w:r>
        <w:rPr>
          <w:i/>
          <w:iCs/>
          <w:szCs w:val="28"/>
        </w:rPr>
      </w:r>
      <w:r>
        <w:rPr>
          <w:i/>
          <w:iCs/>
          <w:szCs w:val="28"/>
        </w:rPr>
      </w:r>
    </w:p>
    <w:p>
      <w:pPr>
        <w:ind w:left="-284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10" w:h="16840" w:orient="portrait"/>
      <w:pgMar w:top="1060" w:right="980" w:bottom="280" w:left="90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19"/>
    <w:link w:val="618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9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9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9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9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9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9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9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9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9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9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9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9"/>
    <w:link w:val="44"/>
    <w:uiPriority w:val="99"/>
  </w:style>
  <w:style w:type="character" w:styleId="47">
    <w:name w:val="Caption Char"/>
    <w:basedOn w:val="619"/>
    <w:link w:val="628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62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9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9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  <w:rPr>
      <w:rFonts w:ascii="Times New Roman" w:hAnsi="Times New Roman" w:eastAsia="Times New Roman" w:cs="Times New Roman"/>
      <w:lang w:val="ru-RU" w:eastAsia="ru-RU" w:bidi="ru-RU"/>
    </w:rPr>
  </w:style>
  <w:style w:type="paragraph" w:styleId="618">
    <w:name w:val="Heading 1"/>
    <w:basedOn w:val="617"/>
    <w:uiPriority w:val="9"/>
    <w:qFormat/>
    <w:pPr>
      <w:ind w:left="1361" w:right="1363"/>
      <w:jc w:val="center"/>
      <w:spacing w:before="53"/>
      <w:outlineLvl w:val="0"/>
    </w:pPr>
    <w:rPr>
      <w:b/>
      <w:bCs/>
      <w:sz w:val="23"/>
      <w:szCs w:val="23"/>
    </w:rPr>
  </w:style>
  <w:style w:type="character" w:styleId="619" w:default="1">
    <w:name w:val="Default Paragraph Font"/>
    <w:uiPriority w:val="1"/>
    <w:semiHidden/>
    <w:unhideWhenUsed/>
  </w:style>
  <w:style w:type="table" w:styleId="62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1" w:default="1">
    <w:name w:val="No List"/>
    <w:uiPriority w:val="99"/>
    <w:semiHidden/>
    <w:unhideWhenUsed/>
  </w:style>
  <w:style w:type="table" w:styleId="622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623">
    <w:name w:val="Body Text"/>
    <w:basedOn w:val="617"/>
    <w:link w:val="631"/>
    <w:uiPriority w:val="1"/>
    <w:qFormat/>
    <w:rPr>
      <w:b/>
      <w:bCs/>
      <w:sz w:val="20"/>
      <w:szCs w:val="20"/>
    </w:rPr>
  </w:style>
  <w:style w:type="paragraph" w:styleId="624">
    <w:name w:val="List Paragraph"/>
    <w:basedOn w:val="617"/>
    <w:uiPriority w:val="1"/>
    <w:qFormat/>
  </w:style>
  <w:style w:type="paragraph" w:styleId="625" w:customStyle="1">
    <w:name w:val="Table Paragraph"/>
    <w:basedOn w:val="617"/>
    <w:uiPriority w:val="1"/>
    <w:qFormat/>
    <w:pPr>
      <w:ind w:left="33"/>
      <w:spacing w:line="217" w:lineRule="exact"/>
    </w:pPr>
  </w:style>
  <w:style w:type="paragraph" w:styleId="626">
    <w:name w:val="Balloon Text"/>
    <w:basedOn w:val="617"/>
    <w:link w:val="627"/>
    <w:uiPriority w:val="99"/>
    <w:semiHidden/>
    <w:unhideWhenUsed/>
    <w:rPr>
      <w:rFonts w:ascii="Tahoma" w:hAnsi="Tahoma" w:cs="Tahoma"/>
      <w:sz w:val="16"/>
      <w:szCs w:val="16"/>
    </w:rPr>
  </w:style>
  <w:style w:type="character" w:styleId="627" w:customStyle="1">
    <w:name w:val="Текст выноски Знак"/>
    <w:basedOn w:val="619"/>
    <w:link w:val="626"/>
    <w:uiPriority w:val="99"/>
    <w:semiHidden/>
    <w:rPr>
      <w:rFonts w:ascii="Tahoma" w:hAnsi="Tahoma" w:eastAsia="Times New Roman" w:cs="Tahoma"/>
      <w:sz w:val="16"/>
      <w:szCs w:val="16"/>
      <w:lang w:val="ru-RU" w:eastAsia="ru-RU" w:bidi="ru-RU"/>
    </w:rPr>
  </w:style>
  <w:style w:type="paragraph" w:styleId="628">
    <w:name w:val="Caption"/>
    <w:basedOn w:val="617"/>
    <w:next w:val="617"/>
    <w:qFormat/>
    <w:pPr>
      <w:jc w:val="both"/>
      <w:widowControl/>
    </w:pPr>
    <w:rPr>
      <w:b/>
      <w:sz w:val="28"/>
      <w:szCs w:val="20"/>
      <w:lang w:bidi="ar-SA"/>
    </w:rPr>
  </w:style>
  <w:style w:type="paragraph" w:styleId="629">
    <w:name w:val="Body Text Indent 3"/>
    <w:basedOn w:val="617"/>
    <w:link w:val="630"/>
    <w:pPr>
      <w:ind w:left="283"/>
      <w:spacing w:after="120"/>
      <w:widowControl/>
    </w:pPr>
    <w:rPr>
      <w:sz w:val="16"/>
      <w:szCs w:val="16"/>
      <w:lang w:bidi="ar-SA"/>
    </w:rPr>
  </w:style>
  <w:style w:type="character" w:styleId="630" w:customStyle="1">
    <w:name w:val="Основной текст с отступом 3 Знак"/>
    <w:basedOn w:val="619"/>
    <w:link w:val="629"/>
    <w:rPr>
      <w:rFonts w:ascii="Times New Roman" w:hAnsi="Times New Roman" w:eastAsia="Times New Roman" w:cs="Times New Roman"/>
      <w:sz w:val="16"/>
      <w:szCs w:val="16"/>
      <w:lang w:val="ru-RU" w:eastAsia="ru-RU"/>
    </w:rPr>
  </w:style>
  <w:style w:type="character" w:styleId="631" w:customStyle="1">
    <w:name w:val="Основной текст Знак"/>
    <w:basedOn w:val="619"/>
    <w:link w:val="623"/>
    <w:uiPriority w:val="1"/>
    <w:rPr>
      <w:rFonts w:ascii="Times New Roman" w:hAnsi="Times New Roman" w:eastAsia="Times New Roman" w:cs="Times New Roman"/>
      <w:b/>
      <w:bCs/>
      <w:sz w:val="20"/>
      <w:szCs w:val="20"/>
      <w:lang w:val="ru-RU" w:eastAsia="ru-RU" w:bidi="ru-RU"/>
    </w:rPr>
  </w:style>
  <w:style w:type="paragraph" w:styleId="632" w:customStyle="1">
    <w:name w:val="Default"/>
    <w:pPr>
      <w:widowControl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Relationship Id="rId9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 Евгений Владимирович</dc:creator>
  <cp:lastModifiedBy>starodubtseva_nv</cp:lastModifiedBy>
  <cp:revision>5</cp:revision>
  <dcterms:created xsi:type="dcterms:W3CDTF">2026-02-27T07:11:00Z</dcterms:created>
  <dcterms:modified xsi:type="dcterms:W3CDTF">2026-03-31T00:51:24Z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2020-12-28T00:00:00Z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2020-12-28T00:00:00Z</vt:filetime>
  </property>
</Properties>
</file>